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3E" w:rsidRDefault="00F6763E" w:rsidP="00F6763E">
      <w:pPr>
        <w:pStyle w:val="1"/>
      </w:pPr>
      <w:r>
        <w:t>(10025-87-3 ) 三氯氧磷的理化及危险特性表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728"/>
        <w:gridCol w:w="2076"/>
        <w:gridCol w:w="2842"/>
      </w:tblGrid>
      <w:tr w:rsidR="00F6763E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  识</w:t>
            </w: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中文名： 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三氯氧磷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磷酰氯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英文名</w:t>
            </w:r>
            <w:r>
              <w:rPr>
                <w:rFonts w:ascii="宋体" w:hAnsi="宋体" w:hint="eastAsia"/>
                <w:spacing w:val="-20"/>
                <w:szCs w:val="21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Phosphorus(V)oxychloride</w:t>
            </w:r>
            <w:r>
              <w:rPr>
                <w:rStyle w:val="apple-converted-space"/>
                <w:rFonts w:hint="eastAsia"/>
                <w:color w:val="000000"/>
                <w:szCs w:val="21"/>
                <w:shd w:val="clear" w:color="auto" w:fill="FFFFFF"/>
              </w:rPr>
              <w:t> 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Phosphoryl chloride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；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分子式：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POCl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076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分子量： 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153.33</w:t>
            </w:r>
          </w:p>
        </w:tc>
        <w:tc>
          <w:tcPr>
            <w:tcW w:w="2842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UN编号：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1810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危险类别：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第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8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．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类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酸性腐蚀品</w:t>
            </w:r>
          </w:p>
        </w:tc>
        <w:tc>
          <w:tcPr>
            <w:tcW w:w="2076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危规号：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81040</w:t>
            </w:r>
          </w:p>
        </w:tc>
        <w:tc>
          <w:tcPr>
            <w:tcW w:w="2842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CAS号：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10025-87-3 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29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包装标志：腐蚀品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pacing w:line="29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包装类别：Ⅰ类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 化 性 质</w:t>
            </w: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外观与性状：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无色透明发烟液体，有辛辣气味。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溶解性：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熔点（℃）：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1.2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沸点（℃）：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105.1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相对密度（水＝1）：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1.68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相对密度（空气＝1）：无资料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饱和蒸气压（kPa）：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5.33(27.3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℃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)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燃烧热（kJ/mol）：无资料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F6763E" w:rsidRDefault="00F6763E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临界温度（℃）：无资料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临界压力（MPa）：无资料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燃烧爆炸危险性</w:t>
            </w: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燃烧性：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本品不燃，具强腐蚀性、强刺激性，可致人体灼伤。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闪点（℃）：无资料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爆炸下限（%）：无资料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爆炸上限（%）：无资料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引燃温度（℃）：无资料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最小点火能：（mJ）：无资料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最大爆炸压力（MPa）：无资料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稳定性： 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聚合危害： </w:t>
            </w:r>
          </w:p>
        </w:tc>
        <w:tc>
          <w:tcPr>
            <w:tcW w:w="4918" w:type="dxa"/>
            <w:gridSpan w:val="2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燃烧分解产物：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氯化氢、氧化磷、磷烷。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避免接触的条件：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潮湿空气。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禁忌物：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强还原剂、活性金属粉末、水、醇类。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危险特性：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遇水猛烈分解, 产生大量的热和浓烟, 甚至爆炸。对很多金属尤其是潮湿空气存在下有腐蚀性。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灭火方法：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灭火剂：干粉、干燥砂土。禁止用水。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毒性</w:t>
            </w: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LD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280 mg/kg(大鼠经口)</w:t>
            </w:r>
            <w:r>
              <w:rPr>
                <w:rFonts w:ascii="宋体" w:hAnsi="宋体" w:hint="eastAsia"/>
                <w:szCs w:val="21"/>
                <w:lang w:val="en-GB"/>
              </w:rPr>
              <w:t xml:space="preserve">                      </w:t>
            </w:r>
          </w:p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LC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200.3mg/m3，4小时(大鼠吸入)</w:t>
            </w:r>
          </w:p>
        </w:tc>
      </w:tr>
      <w:tr w:rsidR="00F6763E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健康危害</w:t>
            </w: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侵入途径：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吸入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食入</w:t>
            </w:r>
          </w:p>
        </w:tc>
      </w:tr>
      <w:tr w:rsidR="00F6763E" w:rsidTr="0090435F">
        <w:trPr>
          <w:cantSplit/>
          <w:trHeight w:val="762"/>
          <w:jc w:val="center"/>
        </w:trPr>
        <w:tc>
          <w:tcPr>
            <w:tcW w:w="528" w:type="dxa"/>
            <w:vMerge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本品对呼吸道有刺激性，严重者有窒息感、紫绀、肺水肿、心力衰竭。亦可发生贫血、肺脏损害、蛋白尿。眼和皮肤接触本品液体可致灼伤。</w:t>
            </w:r>
          </w:p>
        </w:tc>
      </w:tr>
      <w:tr w:rsidR="00F6763E" w:rsidTr="0090435F">
        <w:trPr>
          <w:cantSplit/>
          <w:trHeight w:val="1134"/>
          <w:jc w:val="center"/>
        </w:trPr>
        <w:tc>
          <w:tcPr>
            <w:tcW w:w="5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 救</w:t>
            </w: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皮肤接触：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脱去污染的衣着，用流动清水冲洗。就医。眼睛接触：立即翻开上下眼睑，用流动清水或生理盐水冲洗至少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15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分钟。就医。吸入：迅速脱离现场至空气新鲜处。保持呼吸道通畅。呼吸困难时给输氧。呼吸停止时，立即进行人工呼吸。就医。食入：误服者可用温水或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5000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高锰酸钾液彻底洗胃．就医。</w:t>
            </w:r>
          </w:p>
        </w:tc>
      </w:tr>
      <w:tr w:rsidR="00F6763E" w:rsidTr="0090435F">
        <w:trPr>
          <w:cantSplit/>
          <w:trHeight w:val="1134"/>
          <w:jc w:val="center"/>
        </w:trPr>
        <w:tc>
          <w:tcPr>
            <w:tcW w:w="5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  护</w:t>
            </w: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工程控制：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密闭操作，注意通风。尽可能机械化、自动化。提供安全淋浴和洗眼设备。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呼吸系统防护：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可能接触其蒸气时，必须佩戴自吸过滤式防毒面具（全面罩）或隔离式呼吸器。紧急事态抢救或撤离时，建议佩戴空气呼吸器。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眼睛防护：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呼吸系统防护中已作防护。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身体防护：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穿橡胶耐酸碱服。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手防护：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戴橡胶耐酸碱手套。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其他防护：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工作现场禁止吸烟、进食和饮水。工作完毕，淋浴更衣。单独存放被毒物污染的衣服，洗后备用。保持良好的卫生习惯。</w:t>
            </w:r>
          </w:p>
        </w:tc>
      </w:tr>
      <w:tr w:rsidR="00F6763E" w:rsidTr="0090435F">
        <w:trPr>
          <w:cantSplit/>
          <w:trHeight w:val="1191"/>
          <w:jc w:val="center"/>
        </w:trPr>
        <w:tc>
          <w:tcPr>
            <w:tcW w:w="528" w:type="dxa"/>
            <w:vAlign w:val="center"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泄漏处理</w:t>
            </w:r>
          </w:p>
        </w:tc>
        <w:tc>
          <w:tcPr>
            <w:tcW w:w="8646" w:type="dxa"/>
            <w:gridSpan w:val="3"/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迅速撤离泄漏污染区人员至安全区，并立即隔离150m，严格限制出入。建议应急处理人员戴自给正压式呼吸器，穿防酸碱工作服。不要直接接触泄漏物。尽可能切断泄漏源。小量泄漏：用砂土、蛭石或其它惰性材料吸收。大量泄漏：构筑围堤或挖坑收容。在专家指导下清除。</w:t>
            </w:r>
          </w:p>
        </w:tc>
      </w:tr>
      <w:tr w:rsidR="00F6763E" w:rsidTr="0090435F">
        <w:trPr>
          <w:cantSplit/>
          <w:trHeight w:val="738"/>
          <w:jc w:val="center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F6763E" w:rsidRDefault="00F6763E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储运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  <w:vAlign w:val="center"/>
          </w:tcPr>
          <w:p w:rsidR="00F6763E" w:rsidRDefault="00F6763E" w:rsidP="0090435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储存于阴凉、干燥、通风良好的库房。远离火种、热源。库温不超过25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℃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，相对湿度不超过75％。包装必须密封，切勿受潮。应与还原剂、活性金属粉末、醇类等分开存放，切忌混储。储区应备有泄漏应急处理设备和合适的收容材料。</w:t>
            </w:r>
          </w:p>
        </w:tc>
      </w:tr>
    </w:tbl>
    <w:p w:rsidR="00E63B54" w:rsidRDefault="00F6763E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3E"/>
    <w:rsid w:val="00E63B54"/>
    <w:rsid w:val="00F6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B6CEE-82D4-4E99-BC93-8A7D525C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6763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6763E"/>
    <w:rPr>
      <w:rFonts w:ascii="宋体" w:eastAsia="宋体" w:hAnsi="宋体" w:cs="Times New Roman"/>
      <w:b/>
      <w:bCs/>
      <w:kern w:val="44"/>
      <w:sz w:val="24"/>
      <w:szCs w:val="44"/>
    </w:rPr>
  </w:style>
  <w:style w:type="character" w:customStyle="1" w:styleId="apple-converted-space">
    <w:name w:val="apple-converted-space"/>
    <w:basedOn w:val="a0"/>
    <w:qFormat/>
    <w:rsid w:val="00F6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>zyhq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